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56F2F" w:rsidRDefault="0000000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>
        <w:rPr>
          <w:rFonts w:ascii="Myriad Pro" w:hAnsi="Myriad Pro"/>
          <w:sz w:val="20"/>
          <w:szCs w:val="20"/>
        </w:rPr>
        <w:t>РЕМпро</w:t>
      </w:r>
      <w:proofErr w:type="spellEnd"/>
      <w:r>
        <w:rPr>
          <w:rFonts w:ascii="Myriad Pro" w:hAnsi="Myriad Pro"/>
          <w:sz w:val="20"/>
          <w:szCs w:val="20"/>
        </w:rPr>
        <w:t xml:space="preserve"> Сталь</w:t>
      </w:r>
    </w:p>
    <w:p w:rsidR="00A56F2F" w:rsidRDefault="0000000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Ингибитор коррозии и материал для повышения адгезии</w:t>
      </w:r>
    </w:p>
    <w:p w:rsidR="00A56F2F" w:rsidRDefault="00A56F2F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:rsidR="00A56F2F" w:rsidRDefault="0000000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:rsidR="00A56F2F" w:rsidRDefault="0000000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дополнительная защита арматурных стержней на этапе строительства в конструкциях, подверженных повышенной хлоридной агрессии;</w:t>
      </w:r>
    </w:p>
    <w:p w:rsidR="00A56F2F" w:rsidRDefault="0000000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при капитальном ремонте железобетонных сооружений с целью защиты арматуры;</w:t>
      </w:r>
    </w:p>
    <w:p w:rsidR="00A56F2F" w:rsidRDefault="0000000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в качестве материала, повышающего адгезию;</w:t>
      </w:r>
    </w:p>
    <w:p w:rsidR="00A56F2F" w:rsidRDefault="0000000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в случае</w:t>
      </w:r>
      <w:r w:rsidR="009A0280">
        <w:rPr>
          <w:rFonts w:ascii="Myriad Pro" w:hAnsi="Myriad Pro"/>
          <w:sz w:val="20"/>
          <w:szCs w:val="20"/>
        </w:rPr>
        <w:t>,</w:t>
      </w:r>
      <w:r>
        <w:rPr>
          <w:rFonts w:ascii="Myriad Pro" w:hAnsi="Myriad Pro"/>
          <w:sz w:val="20"/>
          <w:szCs w:val="20"/>
        </w:rPr>
        <w:t xml:space="preserve"> если временные рамки на строительной площадке не позволяют произвести немедленное перекрытие очищенной стальной арматуры ремонтным составом;</w:t>
      </w:r>
    </w:p>
    <w:p w:rsidR="00A56F2F" w:rsidRDefault="0000000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применяется </w:t>
      </w:r>
      <w:r w:rsidR="009A0280">
        <w:rPr>
          <w:rFonts w:ascii="Myriad Pro" w:hAnsi="Myriad Pro"/>
          <w:sz w:val="20"/>
          <w:szCs w:val="20"/>
        </w:rPr>
        <w:t>на</w:t>
      </w:r>
      <w:r>
        <w:rPr>
          <w:rFonts w:ascii="Myriad Pro" w:hAnsi="Myriad Pro"/>
          <w:sz w:val="20"/>
          <w:szCs w:val="20"/>
        </w:rPr>
        <w:t xml:space="preserve"> </w:t>
      </w:r>
      <w:r w:rsidR="009A0280">
        <w:rPr>
          <w:rFonts w:ascii="Myriad Pro" w:hAnsi="Myriad Pro"/>
          <w:sz w:val="20"/>
          <w:szCs w:val="20"/>
        </w:rPr>
        <w:t>«</w:t>
      </w:r>
      <w:r>
        <w:rPr>
          <w:rFonts w:ascii="Myriad Pro" w:hAnsi="Myriad Pro"/>
          <w:sz w:val="20"/>
          <w:szCs w:val="20"/>
        </w:rPr>
        <w:t>проблемных</w:t>
      </w:r>
      <w:r w:rsidR="009A0280">
        <w:rPr>
          <w:rFonts w:ascii="Myriad Pro" w:hAnsi="Myriad Pro"/>
          <w:sz w:val="20"/>
          <w:szCs w:val="20"/>
        </w:rPr>
        <w:t>»</w:t>
      </w:r>
      <w:r>
        <w:rPr>
          <w:rFonts w:ascii="Myriad Pro" w:hAnsi="Myriad Pro"/>
          <w:sz w:val="20"/>
          <w:szCs w:val="20"/>
        </w:rPr>
        <w:t xml:space="preserve"> основаниях, для которых предусмотрена дополнительная за</w:t>
      </w:r>
      <w:r w:rsidR="009A0280">
        <w:rPr>
          <w:rFonts w:ascii="Myriad Pro" w:hAnsi="Myriad Pro"/>
          <w:sz w:val="20"/>
          <w:szCs w:val="20"/>
        </w:rPr>
        <w:t>щ</w:t>
      </w:r>
      <w:r>
        <w:rPr>
          <w:rFonts w:ascii="Myriad Pro" w:hAnsi="Myriad Pro"/>
          <w:sz w:val="20"/>
          <w:szCs w:val="20"/>
        </w:rPr>
        <w:t>ита.</w:t>
      </w:r>
    </w:p>
    <w:p w:rsidR="00A56F2F" w:rsidRDefault="00A56F2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:rsidR="009A0280" w:rsidRDefault="00000000">
      <w:pPr>
        <w:tabs>
          <w:tab w:val="left" w:pos="993"/>
        </w:tabs>
        <w:ind w:left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809625" cy="809625"/>
                <wp:effectExtent l="0" t="0" r="9525" b="9525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97442017" name=""/>
                        <pic:cNvPicPr>
                          <a:picLocks noChangeAspect="1"/>
                        </pic:cNvPicPr>
                      </pic:nvPicPr>
                      <pic:blipFill>
                        <a:blip r:embed="rId7"/>
                        <a:stretch/>
                      </pic:blipFill>
                      <pic:spPr bwMode="auto">
                        <a:xfrm>
                          <a:off x="0" y="0"/>
                          <a:ext cx="80962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63.75pt;height:63.75pt;mso-wrap-distance-left:0.00pt;mso-wrap-distance-top:0.00pt;mso-wrap-distance-right:0.00pt;mso-wrap-distance-bottom:0.00pt;" stroked="false">
                <v:path textboxrect="0,0,0,0"/>
                <v:imagedata r:id="rId9" o:title=""/>
              </v:shape>
            </w:pict>
          </mc:Fallback>
        </mc:AlternateContent>
      </w:r>
      <w:r>
        <w:rPr>
          <w:rFonts w:ascii="Myriad Pro" w:hAnsi="Myriad Pro"/>
          <w:sz w:val="20"/>
          <w:szCs w:val="20"/>
        </w:rPr>
        <w:t xml:space="preserve">Толщина нанесения </w:t>
      </w:r>
      <w:r w:rsidR="009A0280">
        <w:rPr>
          <w:rFonts w:ascii="Myriad Pro" w:hAnsi="Myriad Pro"/>
          <w:sz w:val="20"/>
          <w:szCs w:val="20"/>
        </w:rPr>
        <w:t xml:space="preserve">- </w:t>
      </w:r>
      <w:r>
        <w:rPr>
          <w:rFonts w:ascii="Myriad Pro" w:hAnsi="Myriad Pro"/>
          <w:sz w:val="20"/>
          <w:szCs w:val="20"/>
        </w:rPr>
        <w:t>2 мм за два слоя</w:t>
      </w:r>
      <w:r w:rsidR="009A0280">
        <w:rPr>
          <w:rFonts w:ascii="Myriad Pro" w:hAnsi="Myriad Pro"/>
          <w:sz w:val="20"/>
          <w:szCs w:val="20"/>
        </w:rPr>
        <w:t xml:space="preserve">               </w:t>
      </w:r>
      <w:r>
        <w:rPr>
          <w:rFonts w:ascii="Myriad Pro" w:hAnsi="Myriad Pro"/>
          <w:sz w:val="20"/>
          <w:szCs w:val="20"/>
        </w:rPr>
        <w:t xml:space="preserve">   </w:t>
      </w:r>
      <w:r>
        <w:rPr>
          <w:rFonts w:ascii="Myriad Pro" w:hAnsi="Myriad Pro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809625" cy="809625"/>
                <wp:effectExtent l="0" t="0" r="9525" b="9525"/>
                <wp:docPr id="2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7182286" name=""/>
                        <pic:cNvPicPr>
                          <a:picLocks noChangeAspect="1"/>
                        </pic:cNvPicPr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80962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63.75pt;height:63.75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rFonts w:ascii="Myriad Pro" w:hAnsi="Myriad Pro"/>
          <w:sz w:val="20"/>
          <w:szCs w:val="20"/>
        </w:rPr>
        <w:t>Температура применения от +5</w:t>
      </w:r>
      <w:r>
        <w:rPr>
          <w:rFonts w:ascii="Myriad Pro" w:hAnsi="Myriad Pro"/>
          <w:sz w:val="20"/>
          <w:szCs w:val="20"/>
          <w:vertAlign w:val="superscript"/>
        </w:rPr>
        <w:t>0</w:t>
      </w:r>
      <w:r>
        <w:rPr>
          <w:rFonts w:ascii="Myriad Pro" w:hAnsi="Myriad Pro"/>
          <w:sz w:val="20"/>
          <w:szCs w:val="20"/>
        </w:rPr>
        <w:t>С до +35</w:t>
      </w:r>
      <w:r>
        <w:rPr>
          <w:rFonts w:ascii="Myriad Pro" w:hAnsi="Myriad Pro"/>
          <w:sz w:val="20"/>
          <w:szCs w:val="20"/>
          <w:vertAlign w:val="superscript"/>
        </w:rPr>
        <w:t>0</w:t>
      </w:r>
      <w:r>
        <w:rPr>
          <w:rFonts w:ascii="Myriad Pro" w:hAnsi="Myriad Pro"/>
          <w:sz w:val="20"/>
          <w:szCs w:val="20"/>
        </w:rPr>
        <w:t xml:space="preserve">С     </w:t>
      </w:r>
    </w:p>
    <w:p w:rsidR="00E244FC" w:rsidRDefault="00000000">
      <w:pPr>
        <w:tabs>
          <w:tab w:val="left" w:pos="993"/>
        </w:tabs>
        <w:ind w:left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   </w:t>
      </w:r>
      <w:r>
        <w:rPr>
          <w:rFonts w:ascii="Myriad Pro" w:hAnsi="Myriad Pro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809625" cy="809625"/>
                <wp:effectExtent l="0" t="0" r="9525" b="9525"/>
                <wp:docPr id="3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67680757" name=""/>
                        <pic:cNvPicPr>
                          <a:picLocks noChangeAspect="1"/>
                        </pic:cNvPicPr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80962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63.75pt;height:63.75pt;mso-wrap-distance-left:0.00pt;mso-wrap-distance-top:0.00pt;mso-wrap-distance-right:0.00pt;mso-wrap-distance-bottom:0.00pt;" stroked="false">
                <v:path textboxrect="0,0,0,0"/>
                <v:imagedata r:id="rId13" o:title=""/>
              </v:shape>
            </w:pict>
          </mc:Fallback>
        </mc:AlternateContent>
      </w:r>
      <w:r>
        <w:rPr>
          <w:rFonts w:ascii="Myriad Pro" w:hAnsi="Myriad Pro"/>
          <w:sz w:val="20"/>
          <w:szCs w:val="20"/>
        </w:rPr>
        <w:t>Адгезия ≥2,0 МПа</w:t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809625" cy="809625"/>
                <wp:effectExtent l="0" t="0" r="9525" b="9525"/>
                <wp:docPr id="4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63674346" name=""/>
                        <pic:cNvPicPr>
                          <a:picLocks noChangeAspect="1"/>
                        </pic:cNvPicPr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80962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63.75pt;height:63.75pt;mso-wrap-distance-left:0.00pt;mso-wrap-distance-top:0.00pt;mso-wrap-distance-right:0.00pt;mso-wrap-distance-bottom:0.00pt;" stroked="false">
                <v:path textboxrect="0,0,0,0"/>
                <v:imagedata r:id="rId15" o:title=""/>
              </v:shape>
            </w:pict>
          </mc:Fallback>
        </mc:AlternateContent>
      </w:r>
      <w:proofErr w:type="spellStart"/>
      <w:r>
        <w:rPr>
          <w:rFonts w:ascii="Myriad Pro" w:hAnsi="Myriad Pro"/>
          <w:sz w:val="20"/>
          <w:szCs w:val="20"/>
        </w:rPr>
        <w:t>Паропроницаемость</w:t>
      </w:r>
      <w:proofErr w:type="spellEnd"/>
      <w:r>
        <w:rPr>
          <w:rFonts w:ascii="Myriad Pro" w:hAnsi="Myriad Pro"/>
          <w:sz w:val="20"/>
          <w:szCs w:val="20"/>
        </w:rPr>
        <w:tab/>
      </w:r>
    </w:p>
    <w:p w:rsidR="00E244FC" w:rsidRDefault="00E244FC" w:rsidP="00E244FC">
      <w:pPr>
        <w:tabs>
          <w:tab w:val="left" w:pos="993"/>
        </w:tabs>
        <w:ind w:firstLine="709"/>
      </w:pPr>
      <w:r>
        <w:rPr>
          <w:noProof/>
        </w:rPr>
        <w:drawing>
          <wp:inline distT="0" distB="0" distL="0" distR="0" wp14:anchorId="1FD8E797" wp14:editId="5F394C38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Морозостойкость</w:t>
      </w:r>
      <w:r>
        <w:t xml:space="preserve"> </w:t>
      </w:r>
      <w:r>
        <w:rPr>
          <w:noProof/>
        </w:rPr>
        <w:drawing>
          <wp:inline distT="0" distB="0" distL="0" distR="0" wp14:anchorId="342DDB4F" wp14:editId="5E432CCE">
            <wp:extent cx="809625" cy="809625"/>
            <wp:effectExtent l="0" t="0" r="9525" b="9525"/>
            <wp:docPr id="116122064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220644" name=""/>
                    <pic:cNvPicPr/>
                  </pic:nvPicPr>
                  <pic:blipFill>
                    <a:blip r:embed="rId18">
                      <a:extLs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Стойкость к атмосферным воздействиям</w:t>
      </w:r>
    </w:p>
    <w:p w:rsidR="00E244FC" w:rsidRDefault="00E244FC" w:rsidP="00E244FC">
      <w:pPr>
        <w:tabs>
          <w:tab w:val="left" w:pos="993"/>
        </w:tabs>
        <w:ind w:firstLine="709"/>
      </w:pPr>
      <w:r>
        <w:t xml:space="preserve"> </w:t>
      </w:r>
    </w:p>
    <w:p w:rsidR="00E244FC" w:rsidRDefault="00E244FC" w:rsidP="00E244FC">
      <w:r>
        <w:rPr>
          <w:noProof/>
        </w:rPr>
        <w:drawing>
          <wp:inline distT="0" distB="0" distL="0" distR="0" wp14:anchorId="5558F69A" wp14:editId="50F9621D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20">
                      <a:extLst>
                        <a:ext uri="{96DAC541-7B7A-43D3-8B79-37D633B846F1}">
                          <asvg:svgBlip xmlns:asvg="http://schemas.microsoft.com/office/drawing/2016/SVG/main" r:embed="rId2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внутренних и внешних работ </w:t>
      </w:r>
      <w:r>
        <w:rPr>
          <w:noProof/>
        </w:rPr>
        <w:drawing>
          <wp:inline distT="0" distB="0" distL="0" distR="0" wp14:anchorId="0A35C928" wp14:editId="4C72B61B">
            <wp:extent cx="809625" cy="809625"/>
            <wp:effectExtent l="0" t="0" r="9525" b="9525"/>
            <wp:docPr id="5711406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140611" name=""/>
                    <pic:cNvPicPr/>
                  </pic:nvPicPr>
                  <pic:blipFill>
                    <a:blip r:embed="rId22">
                      <a:extLst>
                        <a:ext uri="{96DAC541-7B7A-43D3-8B79-37D633B846F1}">
                          <asvg:svgBlip xmlns:asvg="http://schemas.microsoft.com/office/drawing/2016/SVG/main" r:embed="rId2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Легкость нанесения</w:t>
      </w:r>
    </w:p>
    <w:p w:rsidR="00E244FC" w:rsidRDefault="00E244FC" w:rsidP="00E244FC">
      <w:r>
        <w:rPr>
          <w:noProof/>
        </w:rPr>
        <w:drawing>
          <wp:inline distT="0" distB="0" distL="0" distR="0" wp14:anchorId="67C11AF3" wp14:editId="7633C0C1">
            <wp:extent cx="809625" cy="809625"/>
            <wp:effectExtent l="0" t="0" r="9525" b="9525"/>
            <wp:docPr id="123734207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7342079" name=""/>
                    <pic:cNvPicPr/>
                  </pic:nvPicPr>
                  <pic:blipFill>
                    <a:blip r:embed="rId24">
                      <a:extLst>
                        <a:ext uri="{96DAC541-7B7A-43D3-8B79-37D633B846F1}">
                          <asvg:svgBlip xmlns:asvg="http://schemas.microsoft.com/office/drawing/2016/SVG/main" r:embed="rId2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Антикоррозионная защита арматуры </w:t>
      </w:r>
      <w:r>
        <w:rPr>
          <w:noProof/>
        </w:rPr>
        <w:drawing>
          <wp:inline distT="0" distB="0" distL="0" distR="0" wp14:anchorId="3A769C35" wp14:editId="73536CE6">
            <wp:extent cx="790575" cy="790575"/>
            <wp:effectExtent l="0" t="0" r="9525" b="9525"/>
            <wp:docPr id="2247082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708281" name=""/>
                    <pic:cNvPicPr/>
                  </pic:nvPicPr>
                  <pic:blipFill>
                    <a:blip r:embed="rId26">
                      <a:extLst>
                        <a:ext uri="{96DAC541-7B7A-43D3-8B79-37D633B846F1}">
                          <asvg:svgBlip xmlns:asvg="http://schemas.microsoft.com/office/drawing/2016/SVG/main" r:embed="rId2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увеличение адгезии</w:t>
      </w:r>
    </w:p>
    <w:p w:rsidR="00E244FC" w:rsidRDefault="00E244FC" w:rsidP="00E244FC">
      <w:r w:rsidRPr="00106216">
        <w:rPr>
          <w:rFonts w:ascii="Myriad Pro" w:hAnsi="Myriad Pro"/>
          <w:noProof/>
        </w:rPr>
        <w:lastRenderedPageBreak/>
        <w:drawing>
          <wp:inline distT="0" distB="0" distL="0" distR="0" wp14:anchorId="6285B6FA" wp14:editId="3EC985BD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28">
                      <a:extLst>
                        <a:ext uri="{96DAC541-7B7A-43D3-8B79-37D633B846F1}">
                          <asvg:svgBlip xmlns:asvg="http://schemas.microsoft.com/office/drawing/2016/SVG/main" r:embed="rId2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06216">
        <w:rPr>
          <w:rFonts w:ascii="Myriad Pro" w:hAnsi="Myriad Pro"/>
        </w:rPr>
        <w:t>Гражданское строительство</w:t>
      </w:r>
      <w:r>
        <w:rPr>
          <w:rFonts w:ascii="Myriad Pro" w:hAnsi="Myriad Pro"/>
        </w:rPr>
        <w:t xml:space="preserve">  </w:t>
      </w:r>
      <w:r>
        <w:rPr>
          <w:noProof/>
        </w:rPr>
        <w:drawing>
          <wp:inline distT="0" distB="0" distL="0" distR="0" wp14:anchorId="541C733C" wp14:editId="627D9AE3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30">
                      <a:extLst>
                        <a:ext uri="{96DAC541-7B7A-43D3-8B79-37D633B846F1}">
                          <asvg:svgBlip xmlns:asvg="http://schemas.microsoft.com/office/drawing/2016/SVG/main" r:embed="rId3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</w:p>
    <w:p w:rsidR="00A56F2F" w:rsidRDefault="00000000">
      <w:pPr>
        <w:tabs>
          <w:tab w:val="left" w:pos="993"/>
        </w:tabs>
        <w:ind w:left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</w:p>
    <w:p w:rsidR="00A56F2F" w:rsidRDefault="0000000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:rsidR="00A56F2F" w:rsidRDefault="0000000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proofErr w:type="spellStart"/>
      <w:r>
        <w:rPr>
          <w:rFonts w:ascii="Myriad Pro" w:hAnsi="Myriad Pro"/>
          <w:b/>
          <w:bCs/>
          <w:sz w:val="20"/>
          <w:szCs w:val="20"/>
        </w:rPr>
        <w:t>РЕМпро</w:t>
      </w:r>
      <w:proofErr w:type="spellEnd"/>
      <w:r>
        <w:rPr>
          <w:rFonts w:ascii="Myriad Pro" w:hAnsi="Myriad Pro"/>
          <w:b/>
          <w:bCs/>
          <w:sz w:val="20"/>
          <w:szCs w:val="20"/>
        </w:rPr>
        <w:t xml:space="preserve"> Сталь — </w:t>
      </w:r>
      <w:r>
        <w:rPr>
          <w:rFonts w:ascii="Myriad Pro" w:hAnsi="Myriad Pro"/>
          <w:sz w:val="20"/>
          <w:szCs w:val="20"/>
        </w:rPr>
        <w:t>однокомпонентное покрытие на основе цемента, выпускаемое в виде сухой смеси, состоящее из цементного вяжущего, фракционированного песка, специально подобранных добавок и ингибиторов коррозии. После смешивания с водой образует однородный пластичны</w:t>
      </w:r>
      <w:r w:rsidR="009A0280">
        <w:rPr>
          <w:rFonts w:ascii="Myriad Pro" w:hAnsi="Myriad Pro"/>
          <w:sz w:val="20"/>
          <w:szCs w:val="20"/>
        </w:rPr>
        <w:t>й</w:t>
      </w:r>
      <w:r>
        <w:rPr>
          <w:rFonts w:ascii="Myriad Pro" w:hAnsi="Myriad Pro"/>
          <w:sz w:val="20"/>
          <w:szCs w:val="20"/>
        </w:rPr>
        <w:t xml:space="preserve"> состав, предназначенный для нанесения на стальные арматурные стержни</w:t>
      </w:r>
      <w:r w:rsidR="009A0280">
        <w:rPr>
          <w:rFonts w:ascii="Myriad Pro" w:hAnsi="Myriad Pro"/>
          <w:sz w:val="20"/>
          <w:szCs w:val="20"/>
        </w:rPr>
        <w:t>. После затвердевания образует прочное водонепроницаемое покрытие с функцией пассивирования арматуры и восстановления щёлочности бетона. Может применяться как адгезионный грунтовочный состав</w:t>
      </w:r>
      <w:r>
        <w:rPr>
          <w:rFonts w:ascii="Myriad Pro" w:hAnsi="Myriad Pro"/>
          <w:sz w:val="20"/>
          <w:szCs w:val="20"/>
        </w:rPr>
        <w:t xml:space="preserve"> для улучшения сцепления ремонтных </w:t>
      </w:r>
      <w:r w:rsidR="009A0280">
        <w:rPr>
          <w:rFonts w:ascii="Myriad Pro" w:hAnsi="Myriad Pro"/>
          <w:sz w:val="20"/>
          <w:szCs w:val="20"/>
        </w:rPr>
        <w:t>материалов с существующим бетонным основанием</w:t>
      </w:r>
      <w:r>
        <w:rPr>
          <w:rFonts w:ascii="Myriad Pro" w:hAnsi="Myriad Pro"/>
          <w:sz w:val="20"/>
          <w:szCs w:val="20"/>
        </w:rPr>
        <w:t xml:space="preserve">. </w:t>
      </w:r>
    </w:p>
    <w:p w:rsidR="00A56F2F" w:rsidRDefault="00A56F2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:rsidR="00A56F2F" w:rsidRDefault="00A56F2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:rsidR="00A56F2F" w:rsidRDefault="0000000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40"/>
        <w:gridCol w:w="2000"/>
        <w:gridCol w:w="2040"/>
      </w:tblGrid>
      <w:tr w:rsidR="00A56F2F">
        <w:trPr>
          <w:trHeight w:val="274"/>
        </w:trPr>
        <w:tc>
          <w:tcPr>
            <w:tcW w:w="10180" w:type="dxa"/>
            <w:gridSpan w:val="3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none" w:sz="4" w:space="0" w:color="000000"/>
            </w:tcBorders>
            <w:shd w:val="clear" w:color="auto" w:fill="145E3B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A56F2F">
        <w:trPr>
          <w:trHeight w:val="274"/>
        </w:trPr>
        <w:tc>
          <w:tcPr>
            <w:tcW w:w="6140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proofErr w:type="spellStart"/>
            <w:r>
              <w:rPr>
                <w:rFonts w:ascii="Myriad Pro" w:hAnsi="Myriad Pro"/>
                <w:sz w:val="20"/>
                <w:szCs w:val="20"/>
              </w:rPr>
              <w:t>тиксотропная</w:t>
            </w:r>
            <w:proofErr w:type="spellEnd"/>
            <w:r>
              <w:rPr>
                <w:rFonts w:ascii="Myriad Pro" w:hAnsi="Myriad Pro"/>
                <w:sz w:val="20"/>
                <w:szCs w:val="20"/>
              </w:rPr>
              <w:t xml:space="preserve"> паста</w:t>
            </w:r>
          </w:p>
        </w:tc>
      </w:tr>
      <w:tr w:rsidR="00A56F2F">
        <w:trPr>
          <w:trHeight w:val="274"/>
        </w:trPr>
        <w:tc>
          <w:tcPr>
            <w:tcW w:w="6140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A56F2F">
        <w:trPr>
          <w:trHeight w:val="274"/>
        </w:trPr>
        <w:tc>
          <w:tcPr>
            <w:tcW w:w="6140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Максимальная толщина нанесения, мм</w:t>
            </w:r>
          </w:p>
        </w:tc>
        <w:tc>
          <w:tcPr>
            <w:tcW w:w="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2,0</w:t>
            </w:r>
          </w:p>
        </w:tc>
      </w:tr>
      <w:tr w:rsidR="00A56F2F">
        <w:trPr>
          <w:trHeight w:val="274"/>
        </w:trPr>
        <w:tc>
          <w:tcPr>
            <w:tcW w:w="6140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1,0</w:t>
            </w:r>
          </w:p>
        </w:tc>
      </w:tr>
      <w:tr w:rsidR="00A56F2F">
        <w:trPr>
          <w:trHeight w:val="659"/>
        </w:trPr>
        <w:tc>
          <w:tcPr>
            <w:tcW w:w="6140" w:type="dxa"/>
            <w:vMerge w:val="restart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 Расход сухой смеси для покрытия1 м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>
              <w:rPr>
                <w:rFonts w:ascii="Myriad Pro" w:hAnsi="Myriad Pro"/>
                <w:sz w:val="20"/>
                <w:szCs w:val="20"/>
              </w:rPr>
              <w:t xml:space="preserve"> поверхности слоем 1 мм, кг</w:t>
            </w: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 w:rsidP="003E75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для защиты арматурных стержней</w:t>
            </w:r>
          </w:p>
        </w:tc>
        <w:tc>
          <w:tcPr>
            <w:tcW w:w="2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1,5</w:t>
            </w:r>
          </w:p>
        </w:tc>
      </w:tr>
      <w:tr w:rsidR="00A56F2F">
        <w:trPr>
          <w:trHeight w:val="274"/>
        </w:trPr>
        <w:tc>
          <w:tcPr>
            <w:tcW w:w="0" w:type="auto"/>
            <w:vMerge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56F2F" w:rsidRDefault="00A56F2F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 w:rsidP="003E75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увеличение адгезии</w:t>
            </w:r>
          </w:p>
        </w:tc>
        <w:tc>
          <w:tcPr>
            <w:tcW w:w="2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2,0 – 3,0</w:t>
            </w:r>
          </w:p>
        </w:tc>
      </w:tr>
      <w:tr w:rsidR="00A56F2F">
        <w:trPr>
          <w:trHeight w:val="436"/>
        </w:trPr>
        <w:tc>
          <w:tcPr>
            <w:tcW w:w="10180" w:type="dxa"/>
            <w:gridSpan w:val="3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none" w:sz="4" w:space="0" w:color="000000"/>
            </w:tcBorders>
            <w:shd w:val="clear" w:color="auto" w:fill="145E3B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</w:t>
            </w:r>
            <w:r>
              <w:rPr>
                <w:rFonts w:ascii="Symbol" w:eastAsia="Symbol" w:hAnsi="Symbol" w:cs="Symbol"/>
                <w:b/>
                <w:bCs/>
                <w:color w:val="FFFFFF" w:themeColor="background1"/>
                <w:sz w:val="20"/>
                <w:szCs w:val="20"/>
              </w:rPr>
              <w:t>°</w:t>
            </w:r>
            <w:r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A56F2F">
        <w:trPr>
          <w:trHeight w:val="274"/>
        </w:trPr>
        <w:tc>
          <w:tcPr>
            <w:tcW w:w="6140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 xml:space="preserve"> ≥ 60</w:t>
            </w:r>
          </w:p>
        </w:tc>
      </w:tr>
      <w:tr w:rsidR="00A56F2F">
        <w:trPr>
          <w:trHeight w:val="274"/>
        </w:trPr>
        <w:tc>
          <w:tcPr>
            <w:tcW w:w="6140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Подвижность (</w:t>
            </w:r>
            <w:proofErr w:type="spellStart"/>
            <w:r>
              <w:rPr>
                <w:rFonts w:ascii="Myriad Pro" w:hAnsi="Myriad Pro"/>
                <w:sz w:val="20"/>
                <w:szCs w:val="20"/>
              </w:rPr>
              <w:t>расплыв</w:t>
            </w:r>
            <w:proofErr w:type="spellEnd"/>
            <w:r>
              <w:rPr>
                <w:rFonts w:ascii="Myriad Pro" w:hAnsi="Myriad Pro"/>
                <w:sz w:val="20"/>
                <w:szCs w:val="20"/>
              </w:rPr>
              <w:t xml:space="preserve"> кольца), мм</w:t>
            </w:r>
          </w:p>
        </w:tc>
        <w:tc>
          <w:tcPr>
            <w:tcW w:w="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 xml:space="preserve">160 – 190 </w:t>
            </w:r>
          </w:p>
        </w:tc>
      </w:tr>
      <w:tr w:rsidR="00A56F2F">
        <w:trPr>
          <w:trHeight w:val="274"/>
        </w:trPr>
        <w:tc>
          <w:tcPr>
            <w:tcW w:w="10180" w:type="dxa"/>
            <w:gridSpan w:val="3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none" w:sz="4" w:space="0" w:color="000000"/>
            </w:tcBorders>
            <w:shd w:val="clear" w:color="auto" w:fill="145E3B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</w:t>
            </w:r>
            <w:r>
              <w:rPr>
                <w:rFonts w:ascii="Symbol" w:eastAsia="Symbol" w:hAnsi="Symbol" w:cs="Symbol"/>
                <w:b/>
                <w:bCs/>
                <w:color w:val="FFFFFF" w:themeColor="background1"/>
                <w:sz w:val="20"/>
                <w:szCs w:val="20"/>
              </w:rPr>
              <w:t>°</w:t>
            </w:r>
            <w:r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С, влажность 90 ± 5%)</w:t>
            </w:r>
          </w:p>
        </w:tc>
      </w:tr>
      <w:tr w:rsidR="00A56F2F">
        <w:trPr>
          <w:trHeight w:val="274"/>
        </w:trPr>
        <w:tc>
          <w:tcPr>
            <w:tcW w:w="6140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Прочность сцепления, через 28 суток, МПа</w:t>
            </w:r>
          </w:p>
        </w:tc>
        <w:tc>
          <w:tcPr>
            <w:tcW w:w="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≥ 2,</w:t>
            </w:r>
            <w:r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</w:p>
        </w:tc>
      </w:tr>
      <w:tr w:rsidR="00A56F2F">
        <w:trPr>
          <w:trHeight w:val="274"/>
        </w:trPr>
        <w:tc>
          <w:tcPr>
            <w:tcW w:w="6140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Оценка эффективности покрытий антикоррозионной защиты</w:t>
            </w:r>
          </w:p>
        </w:tc>
        <w:tc>
          <w:tcPr>
            <w:tcW w:w="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4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</w:tcPr>
          <w:p w:rsidR="00A56F2F" w:rsidRDefault="00000000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соответствует</w:t>
            </w:r>
          </w:p>
        </w:tc>
      </w:tr>
    </w:tbl>
    <w:p w:rsidR="00A56F2F" w:rsidRDefault="00A56F2F">
      <w:pPr>
        <w:tabs>
          <w:tab w:val="left" w:pos="993"/>
        </w:tabs>
        <w:ind w:firstLine="142"/>
        <w:rPr>
          <w:rFonts w:ascii="Myriad Pro" w:hAnsi="Myriad Pro"/>
          <w:sz w:val="20"/>
          <w:szCs w:val="20"/>
        </w:rPr>
      </w:pPr>
    </w:p>
    <w:p w:rsidR="00C73192" w:rsidRDefault="00C73192">
      <w:pPr>
        <w:tabs>
          <w:tab w:val="left" w:pos="993"/>
        </w:tabs>
        <w:ind w:firstLine="142"/>
        <w:rPr>
          <w:rFonts w:ascii="Myriad Pro" w:hAnsi="Myriad Pro"/>
          <w:sz w:val="20"/>
          <w:szCs w:val="20"/>
        </w:rPr>
      </w:pPr>
    </w:p>
    <w:p w:rsidR="00C73192" w:rsidRDefault="00C73192">
      <w:pPr>
        <w:tabs>
          <w:tab w:val="left" w:pos="993"/>
        </w:tabs>
        <w:ind w:firstLine="142"/>
        <w:rPr>
          <w:rFonts w:ascii="Myriad Pro" w:hAnsi="Myriad Pro"/>
          <w:sz w:val="20"/>
          <w:szCs w:val="20"/>
        </w:rPr>
      </w:pPr>
    </w:p>
    <w:p w:rsidR="00C73192" w:rsidRDefault="00C73192">
      <w:pPr>
        <w:tabs>
          <w:tab w:val="left" w:pos="993"/>
        </w:tabs>
        <w:ind w:firstLine="142"/>
        <w:rPr>
          <w:rFonts w:ascii="Myriad Pro" w:hAnsi="Myriad Pro"/>
          <w:sz w:val="20"/>
          <w:szCs w:val="20"/>
        </w:rPr>
      </w:pPr>
    </w:p>
    <w:p w:rsidR="00C73192" w:rsidRDefault="00C73192">
      <w:pPr>
        <w:tabs>
          <w:tab w:val="left" w:pos="993"/>
        </w:tabs>
        <w:ind w:firstLine="142"/>
        <w:rPr>
          <w:rFonts w:ascii="Myriad Pro" w:hAnsi="Myriad Pro"/>
          <w:sz w:val="20"/>
          <w:szCs w:val="20"/>
        </w:rPr>
      </w:pPr>
    </w:p>
    <w:p w:rsidR="00A56F2F" w:rsidRDefault="0000000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lastRenderedPageBreak/>
        <w:t>Назначение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В соответствии с </w:t>
      </w:r>
      <w:r>
        <w:rPr>
          <w:rFonts w:ascii="Myriad Pro" w:hAnsi="Myriad Pro" w:cstheme="minorHAnsi"/>
          <w:b/>
          <w:bCs/>
          <w:sz w:val="20"/>
          <w:szCs w:val="20"/>
        </w:rPr>
        <w:t>ГОСТ 32016</w:t>
      </w:r>
      <w:r>
        <w:rPr>
          <w:rFonts w:ascii="Myriad Pro" w:hAnsi="Myriad Pro" w:cstheme="minorHAnsi"/>
          <w:sz w:val="20"/>
          <w:szCs w:val="20"/>
        </w:rPr>
        <w:t xml:space="preserve"> и </w:t>
      </w:r>
      <w:r>
        <w:rPr>
          <w:rFonts w:ascii="Myriad Pro" w:hAnsi="Myriad Pro" w:cstheme="minorHAnsi"/>
          <w:b/>
          <w:bCs/>
          <w:sz w:val="20"/>
          <w:szCs w:val="20"/>
        </w:rPr>
        <w:t>СП 349.1325800</w:t>
      </w:r>
      <w:r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 xml:space="preserve">Принцип 1. </w:t>
      </w:r>
      <w:r>
        <w:rPr>
          <w:rFonts w:ascii="Myriad Pro" w:hAnsi="Myriad Pro" w:cstheme="minorHAnsi"/>
          <w:sz w:val="20"/>
          <w:szCs w:val="20"/>
        </w:rPr>
        <w:t>Защита от проникания: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1.3. Покрытие</w:t>
      </w:r>
      <w:r w:rsidR="009C0A83">
        <w:rPr>
          <w:rFonts w:ascii="Myriad Pro" w:hAnsi="Myriad Pro" w:cstheme="minorHAnsi"/>
          <w:sz w:val="20"/>
          <w:szCs w:val="20"/>
        </w:rPr>
        <w:t>.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 xml:space="preserve">Принцип 2. </w:t>
      </w:r>
      <w:r>
        <w:rPr>
          <w:rFonts w:ascii="Myriad Pro" w:hAnsi="Myriad Pro" w:cstheme="minorHAnsi"/>
          <w:sz w:val="20"/>
          <w:szCs w:val="20"/>
        </w:rPr>
        <w:t>Регулирование влагосодержания: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2.3. Покрытие</w:t>
      </w:r>
      <w:r w:rsidR="009C0A83">
        <w:rPr>
          <w:rFonts w:ascii="Myriad Pro" w:hAnsi="Myriad Pro" w:cstheme="minorHAnsi"/>
          <w:sz w:val="20"/>
          <w:szCs w:val="20"/>
        </w:rPr>
        <w:t>.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>Принцип 6.</w:t>
      </w:r>
      <w:r>
        <w:rPr>
          <w:rFonts w:ascii="Myriad Pro" w:hAnsi="Myriad Pro" w:cstheme="minorHAnsi"/>
          <w:sz w:val="20"/>
          <w:szCs w:val="20"/>
        </w:rPr>
        <w:t xml:space="preserve"> Стойкость к химикатам: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6.1. Покрытие</w:t>
      </w:r>
      <w:r w:rsidR="009C0A83">
        <w:rPr>
          <w:rFonts w:ascii="Myriad Pro" w:hAnsi="Myriad Pro" w:cstheme="minorHAnsi"/>
          <w:sz w:val="20"/>
          <w:szCs w:val="20"/>
        </w:rPr>
        <w:t>.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>Принцип 7.</w:t>
      </w:r>
      <w:r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пассивного состояния:</w:t>
      </w:r>
    </w:p>
    <w:p w:rsidR="00A56F2F" w:rsidRDefault="0000000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7.1. Увеличение защитного слоя за счет дополнительного раствора или бетона</w:t>
      </w:r>
      <w:r w:rsidR="009C0A83">
        <w:rPr>
          <w:rFonts w:ascii="Myriad Pro" w:hAnsi="Myriad Pro" w:cstheme="minorHAnsi"/>
          <w:sz w:val="20"/>
          <w:szCs w:val="20"/>
        </w:rPr>
        <w:t>.</w:t>
      </w:r>
    </w:p>
    <w:p w:rsidR="009C0A83" w:rsidRDefault="009C0A83" w:rsidP="009C0A83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>Принцип 11.</w:t>
      </w:r>
      <w:r>
        <w:rPr>
          <w:rFonts w:ascii="Myriad Pro" w:hAnsi="Myriad Pro" w:cstheme="minorHAnsi"/>
          <w:sz w:val="20"/>
          <w:szCs w:val="20"/>
        </w:rPr>
        <w:t xml:space="preserve"> Контроль анодных участков:</w:t>
      </w:r>
    </w:p>
    <w:p w:rsidR="009C0A83" w:rsidRDefault="009C0A83" w:rsidP="009C0A83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11.1. Покрытие арматуры слоем активного типа.</w:t>
      </w:r>
    </w:p>
    <w:p w:rsidR="009C0A83" w:rsidRDefault="009C0A83" w:rsidP="009C0A83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11.2. Покрытие арматуры слоем барьерного типа.</w:t>
      </w:r>
    </w:p>
    <w:p w:rsidR="009C0A83" w:rsidRDefault="009C0A83" w:rsidP="009C0A83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:rsidR="009C0A83" w:rsidRDefault="009C0A83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:rsidR="00A56F2F" w:rsidRDefault="00A56F2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:rsidR="00A56F2F" w:rsidRDefault="0000000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:rsidR="00A56F2F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>
        <w:rPr>
          <w:rFonts w:ascii="Myriad Pro" w:hAnsi="Myriad Pro" w:cstheme="minorHAnsi"/>
          <w:sz w:val="20"/>
          <w:szCs w:val="20"/>
        </w:rPr>
        <w:t>РЕМpro</w:t>
      </w:r>
      <w:proofErr w:type="spellEnd"/>
      <w:r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>
        <w:rPr>
          <w:rFonts w:ascii="Myriad Pro" w:hAnsi="Myriad Pro" w:cstheme="minorHAnsi"/>
          <w:sz w:val="20"/>
          <w:szCs w:val="20"/>
        </w:rPr>
        <w:t>РЕМпро</w:t>
      </w:r>
      <w:proofErr w:type="spellEnd"/>
      <w:r>
        <w:rPr>
          <w:rFonts w:ascii="Myriad Pro" w:hAnsi="Myriad Pro" w:cstheme="minorHAnsi"/>
          <w:sz w:val="20"/>
          <w:szCs w:val="20"/>
        </w:rPr>
        <w:t>)». Технические условия.</w:t>
      </w:r>
    </w:p>
    <w:p w:rsidR="00A56F2F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:rsidR="00A56F2F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:rsidR="00A56F2F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:rsidR="00A56F2F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>
        <w:rPr>
          <w:rFonts w:ascii="Myriad Pro" w:hAnsi="Myriad Pro" w:cstheme="minorHAnsi"/>
          <w:sz w:val="20"/>
          <w:szCs w:val="20"/>
        </w:rPr>
        <w:t>РЕМpro</w:t>
      </w:r>
      <w:proofErr w:type="spellEnd"/>
      <w:r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>
        <w:rPr>
          <w:rFonts w:ascii="Myriad Pro" w:hAnsi="Myriad Pro" w:cstheme="minorHAnsi"/>
          <w:sz w:val="20"/>
          <w:szCs w:val="20"/>
        </w:rPr>
        <w:t>РЕМпро</w:t>
      </w:r>
      <w:proofErr w:type="spellEnd"/>
      <w:r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:rsidR="00A56F2F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>
        <w:rPr>
          <w:rFonts w:ascii="Myriad Pro" w:hAnsi="Myriad Pro" w:cstheme="minorHAnsi"/>
          <w:sz w:val="20"/>
          <w:szCs w:val="20"/>
        </w:rPr>
        <w:t>РЕМpro</w:t>
      </w:r>
      <w:proofErr w:type="spellEnd"/>
      <w:r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>
        <w:rPr>
          <w:rFonts w:ascii="Myriad Pro" w:hAnsi="Myriad Pro" w:cstheme="minorHAnsi"/>
          <w:sz w:val="20"/>
          <w:szCs w:val="20"/>
        </w:rPr>
        <w:t>РЕМпро</w:t>
      </w:r>
      <w:proofErr w:type="spellEnd"/>
      <w:r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:rsidR="00A56F2F" w:rsidRDefault="00000000">
      <w:pPr>
        <w:pStyle w:val="af9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:rsidR="00A56F2F" w:rsidRDefault="00A56F2F"/>
    <w:sectPr w:rsidR="00A56F2F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AE7BFE" w:rsidRDefault="00AE7BFE">
      <w:pPr>
        <w:spacing w:after="0" w:line="240" w:lineRule="auto"/>
      </w:pPr>
      <w:r>
        <w:separator/>
      </w:r>
    </w:p>
  </w:endnote>
  <w:endnote w:type="continuationSeparator" w:id="0">
    <w:p w:rsidR="00AE7BFE" w:rsidRDefault="00AE7B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AE7BFE" w:rsidRDefault="00AE7BFE">
      <w:pPr>
        <w:spacing w:after="0" w:line="240" w:lineRule="auto"/>
      </w:pPr>
      <w:r>
        <w:separator/>
      </w:r>
    </w:p>
  </w:footnote>
  <w:footnote w:type="continuationSeparator" w:id="0">
    <w:p w:rsidR="00AE7BFE" w:rsidRDefault="00AE7B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60D89"/>
    <w:multiLevelType w:val="hybridMultilevel"/>
    <w:tmpl w:val="F43AFA86"/>
    <w:lvl w:ilvl="0" w:tplc="90F0F17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DB28EEA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B4B38C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366717A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2DC2AEE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944B2DC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5FE7402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BECD982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DDC30D6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658533F"/>
    <w:multiLevelType w:val="hybridMultilevel"/>
    <w:tmpl w:val="C2E2DA22"/>
    <w:lvl w:ilvl="0" w:tplc="DB02851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70A1DF2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5E6B6CA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30640C4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F4A733E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10E0F02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6F2C6AA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248C6CC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6E22C46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64B82149"/>
    <w:multiLevelType w:val="hybridMultilevel"/>
    <w:tmpl w:val="6B6479B4"/>
    <w:lvl w:ilvl="0" w:tplc="502AAFBA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1174F9E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5A8FE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182E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D41BA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F897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D291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DA966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15C5B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4691610">
    <w:abstractNumId w:val="1"/>
  </w:num>
  <w:num w:numId="2" w16cid:durableId="879784007">
    <w:abstractNumId w:val="2"/>
  </w:num>
  <w:num w:numId="3" w16cid:durableId="167796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F2F"/>
    <w:rsid w:val="00106EB3"/>
    <w:rsid w:val="0032728E"/>
    <w:rsid w:val="003E75B0"/>
    <w:rsid w:val="004101F8"/>
    <w:rsid w:val="006231BB"/>
    <w:rsid w:val="009A0280"/>
    <w:rsid w:val="009C0A83"/>
    <w:rsid w:val="00A56F2F"/>
    <w:rsid w:val="00AE7BFE"/>
    <w:rsid w:val="00C73192"/>
    <w:rsid w:val="00CC50A3"/>
    <w:rsid w:val="00E24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BEB5B"/>
  <w15:docId w15:val="{0EE8EE57-03C7-4340-B35F-EF8CCBEB0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  <w:rPr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0.png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" Type="http://schemas.openxmlformats.org/officeDocument/2006/relationships/settings" Target="settings.xml"/><Relationship Id="rId21" Type="http://schemas.openxmlformats.org/officeDocument/2006/relationships/image" Target="media/image10.svg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17" Type="http://schemas.openxmlformats.org/officeDocument/2006/relationships/image" Target="media/image6.svg"/><Relationship Id="rId25" Type="http://schemas.openxmlformats.org/officeDocument/2006/relationships/image" Target="media/image14.sv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image" Target="media/image18.sv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0.png"/><Relationship Id="rId24" Type="http://schemas.openxmlformats.org/officeDocument/2006/relationships/image" Target="media/image13.pn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40.png"/><Relationship Id="rId23" Type="http://schemas.openxmlformats.org/officeDocument/2006/relationships/image" Target="media/image12.svg"/><Relationship Id="rId28" Type="http://schemas.openxmlformats.org/officeDocument/2006/relationships/image" Target="media/image17.png"/><Relationship Id="rId10" Type="http://schemas.openxmlformats.org/officeDocument/2006/relationships/image" Target="media/image2.png"/><Relationship Id="rId19" Type="http://schemas.openxmlformats.org/officeDocument/2006/relationships/image" Target="media/image8.svg"/><Relationship Id="rId31" Type="http://schemas.openxmlformats.org/officeDocument/2006/relationships/image" Target="media/image20.svg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image" Target="media/image4.png"/><Relationship Id="rId22" Type="http://schemas.openxmlformats.org/officeDocument/2006/relationships/image" Target="media/image11.png"/><Relationship Id="rId27" Type="http://schemas.openxmlformats.org/officeDocument/2006/relationships/image" Target="media/image16.svg"/><Relationship Id="rId30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580</Words>
  <Characters>3307</Characters>
  <Application>Microsoft Office Word</Application>
  <DocSecurity>0</DocSecurity>
  <Lines>27</Lines>
  <Paragraphs>7</Paragraphs>
  <ScaleCrop>false</ScaleCrop>
  <Company/>
  <LinksUpToDate>false</LinksUpToDate>
  <CharactersWithSpaces>3880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17</cp:revision>
  <dcterms:created xsi:type="dcterms:W3CDTF">2024-11-01T06:39:00Z</dcterms:created>
  <dcterms:modified xsi:type="dcterms:W3CDTF">2024-12-13T13:06:00Z</dcterms:modified>
</cp:coreProperties>
</file>